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Person Specification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Post: Estates and Compliance Manager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3570"/>
        <w:gridCol w:w="3795"/>
        <w:gridCol w:w="1455"/>
        <w:tblGridChange w:id="0">
          <w:tblGrid>
            <w:gridCol w:w="1680"/>
            <w:gridCol w:w="3570"/>
            <w:gridCol w:w="3795"/>
            <w:gridCol w:w="145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Attributes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identified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GCSEs including Maths and English Grade C/4 or above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NVQ4, Diploma or equivalent in Building or Facilities Management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Working towards or already achieved a nationally recognised Health and Safety qualification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Working towards, or willing to work towards a NEBOSH certificate level or above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Level and/or equivalent Level 3 qualification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Degree educated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Application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Certification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Evidence of leadership of diverse teams across a large organisation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Significant facilities management experience in a similar role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in Health and Safety management, operations and responsibility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managing a team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delivering services to meet customer needs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working to tight timescales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managing premises in a multi-site group complex organisation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working with a range of contractors on capital and/or maintenance projects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design and managing a rolling programme of maintenance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managing cleaning, security and grounds maintenance services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delivering projects across estates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Experience of working in a school, academy, trust or other educational based background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Practical building or maintenance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Knowledge and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Knowledge and understanding of Health and Safety requirements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Knowledge and understanding of Building Management Systems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Excellent customer service skills and the ability to understand the needs of the business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Excellent organisational and time management skills and the ability to prioritise work for yourself and others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Ability to disseminate knowledge and good practice to other members of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 excellent record of attendance and punctuality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Ability to relate to and communicate with a wide range of people with a calm and courteous manner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Self-motivation and personal drive to complete tasks to the required timescale and quality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Commitment to continuous self-development including undertaking qualifications in key areas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Self-awareness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Reliability, integrity and stamina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Resilience and perspective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Commitment to safeguarding and protecting the welfare of children and young people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Commitment to equality and diversity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Commitment to Health and Safety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Essential car 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References</w:t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283" w:left="851" w:right="851" w:header="340" w:footer="3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widowControl w:val="0"/>
      <w:rPr/>
    </w:pPr>
    <w:r w:rsidDel="00000000" w:rsidR="00000000" w:rsidRPr="00000000">
      <w:rPr>
        <w:rFonts w:ascii="Calibri" w:cs="Calibri" w:eastAsia="Calibri" w:hAnsi="Calibri"/>
        <w:b w:val="1"/>
        <w:sz w:val="18"/>
        <w:szCs w:val="18"/>
      </w:rPr>
      <w:drawing>
        <wp:inline distB="114300" distT="114300" distL="114300" distR="114300">
          <wp:extent cx="3173397" cy="6305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3397" cy="6305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